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0" w:lineRule="exact"/>
        <w:jc w:val="center"/>
        <w:rPr>
          <w:rFonts w:ascii="华文中宋" w:hAnsi="华文中宋" w:eastAsia="华文中宋"/>
          <w:b/>
          <w:bCs/>
          <w:color w:val="000000"/>
          <w:sz w:val="36"/>
          <w:szCs w:val="36"/>
        </w:rPr>
      </w:pPr>
      <w:r>
        <w:rPr>
          <w:rFonts w:hint="eastAsia" w:ascii="华文中宋" w:hAnsi="华文中宋" w:eastAsia="华文中宋"/>
          <w:b/>
          <w:bCs/>
          <w:color w:val="000000"/>
          <w:sz w:val="36"/>
          <w:szCs w:val="36"/>
        </w:rPr>
        <w:t>广东新闻奖参评作品推荐表</w:t>
      </w:r>
    </w:p>
    <w:tbl>
      <w:tblPr>
        <w:tblStyle w:val="4"/>
        <w:tblW w:w="96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76"/>
        <w:gridCol w:w="1301"/>
        <w:gridCol w:w="1302"/>
        <w:gridCol w:w="766"/>
        <w:gridCol w:w="89"/>
        <w:gridCol w:w="1078"/>
        <w:gridCol w:w="278"/>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9" w:hRule="exact"/>
        </w:trPr>
        <w:tc>
          <w:tcPr>
            <w:tcW w:w="1450" w:type="dxa"/>
            <w:vMerge w:val="restart"/>
            <w:vAlign w:val="center"/>
          </w:tcPr>
          <w:p>
            <w:pPr>
              <w:spacing w:line="360" w:lineRule="exact"/>
              <w:jc w:val="center"/>
              <w:rPr>
                <w:rFonts w:ascii="宋体" w:hAnsi="宋体"/>
                <w:b/>
                <w:bCs/>
                <w:color w:val="000000"/>
                <w:szCs w:val="21"/>
              </w:rPr>
            </w:pPr>
            <w:r>
              <w:rPr>
                <w:rFonts w:hint="eastAsia" w:ascii="宋体" w:hAnsi="宋体"/>
                <w:b/>
                <w:bCs/>
                <w:color w:val="000000"/>
                <w:szCs w:val="21"/>
              </w:rPr>
              <w:t>作品标题</w:t>
            </w:r>
          </w:p>
        </w:tc>
        <w:tc>
          <w:tcPr>
            <w:tcW w:w="3534" w:type="dxa"/>
            <w:gridSpan w:val="5"/>
            <w:vMerge w:val="restart"/>
            <w:vAlign w:val="center"/>
          </w:tcPr>
          <w:p>
            <w:pPr>
              <w:spacing w:line="360" w:lineRule="exact"/>
              <w:jc w:val="center"/>
              <w:rPr>
                <w:rFonts w:hint="default" w:ascii="宋体" w:hAnsi="宋体"/>
                <w:b/>
                <w:bCs/>
                <w:color w:val="000000"/>
                <w:szCs w:val="21"/>
                <w:lang w:val="en-US"/>
              </w:rPr>
            </w:pPr>
            <w:r>
              <w:rPr>
                <w:rFonts w:hint="eastAsia" w:ascii="宋体" w:hAnsi="宋体"/>
                <w:b/>
                <w:bCs/>
                <w:color w:val="000000"/>
                <w:szCs w:val="21"/>
                <w:lang w:val="en-US" w:eastAsia="zh-CN"/>
              </w:rPr>
              <w:t>重大主题报道的融合创新之道——以广东广播电视台“飞越广东”融媒项目为例</w:t>
            </w:r>
          </w:p>
        </w:tc>
        <w:tc>
          <w:tcPr>
            <w:tcW w:w="1356" w:type="dxa"/>
            <w:gridSpan w:val="2"/>
            <w:vAlign w:val="center"/>
          </w:tcPr>
          <w:p>
            <w:pPr>
              <w:spacing w:line="360" w:lineRule="exact"/>
              <w:jc w:val="center"/>
              <w:rPr>
                <w:rFonts w:ascii="宋体" w:hAnsi="宋体"/>
                <w:b/>
                <w:bCs/>
                <w:color w:val="000000"/>
                <w:szCs w:val="21"/>
              </w:rPr>
            </w:pPr>
            <w:r>
              <w:rPr>
                <w:rFonts w:hint="eastAsia" w:ascii="宋体" w:hAnsi="宋体"/>
                <w:b/>
                <w:bCs/>
                <w:color w:val="000000"/>
                <w:szCs w:val="21"/>
              </w:rPr>
              <w:t>参评项目</w:t>
            </w:r>
          </w:p>
        </w:tc>
        <w:tc>
          <w:tcPr>
            <w:tcW w:w="3285" w:type="dxa"/>
            <w:vAlign w:val="center"/>
          </w:tcPr>
          <w:p>
            <w:pPr>
              <w:spacing w:line="360" w:lineRule="exact"/>
              <w:jc w:val="center"/>
              <w:rPr>
                <w:rFonts w:ascii="宋体" w:hAnsi="宋体"/>
                <w:b/>
                <w:bCs/>
                <w:color w:val="000000"/>
                <w:szCs w:val="21"/>
              </w:rPr>
            </w:pPr>
            <w:r>
              <w:rPr>
                <w:rFonts w:hint="eastAsia" w:ascii="宋体" w:hAnsi="宋体"/>
                <w:b/>
                <w:bCs/>
                <w:color w:val="000000"/>
                <w:szCs w:val="21"/>
              </w:rPr>
              <w:t>新闻业务研究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3" w:hRule="exact"/>
        </w:trPr>
        <w:tc>
          <w:tcPr>
            <w:tcW w:w="1450" w:type="dxa"/>
            <w:vMerge w:val="continue"/>
            <w:vAlign w:val="center"/>
          </w:tcPr>
          <w:p>
            <w:pPr>
              <w:spacing w:line="360" w:lineRule="exact"/>
              <w:jc w:val="center"/>
              <w:rPr>
                <w:rFonts w:ascii="宋体" w:hAnsi="宋体"/>
                <w:b/>
                <w:bCs/>
                <w:color w:val="000000"/>
                <w:szCs w:val="21"/>
              </w:rPr>
            </w:pPr>
          </w:p>
        </w:tc>
        <w:tc>
          <w:tcPr>
            <w:tcW w:w="3534" w:type="dxa"/>
            <w:gridSpan w:val="5"/>
            <w:vMerge w:val="continue"/>
            <w:vAlign w:val="center"/>
          </w:tcPr>
          <w:p>
            <w:pPr>
              <w:spacing w:line="360" w:lineRule="exact"/>
              <w:jc w:val="center"/>
              <w:rPr>
                <w:rFonts w:ascii="宋体" w:hAnsi="宋体"/>
                <w:b/>
                <w:bCs/>
                <w:color w:val="000000"/>
                <w:szCs w:val="21"/>
              </w:rPr>
            </w:pPr>
          </w:p>
        </w:tc>
        <w:tc>
          <w:tcPr>
            <w:tcW w:w="1356" w:type="dxa"/>
            <w:gridSpan w:val="2"/>
            <w:vAlign w:val="center"/>
          </w:tcPr>
          <w:p>
            <w:pPr>
              <w:spacing w:line="360" w:lineRule="exact"/>
              <w:jc w:val="center"/>
              <w:rPr>
                <w:rFonts w:ascii="宋体" w:hAnsi="宋体"/>
                <w:b/>
                <w:bCs/>
                <w:color w:val="000000"/>
                <w:szCs w:val="21"/>
              </w:rPr>
            </w:pPr>
            <w:r>
              <w:rPr>
                <w:rFonts w:hint="eastAsia" w:ascii="宋体" w:hAnsi="宋体"/>
                <w:b/>
                <w:bCs/>
                <w:color w:val="000000"/>
                <w:szCs w:val="21"/>
              </w:rPr>
              <w:t>体裁</w:t>
            </w:r>
          </w:p>
        </w:tc>
        <w:tc>
          <w:tcPr>
            <w:tcW w:w="3285" w:type="dxa"/>
            <w:vAlign w:val="center"/>
          </w:tcPr>
          <w:p>
            <w:pPr>
              <w:spacing w:line="360" w:lineRule="exact"/>
              <w:jc w:val="center"/>
              <w:rPr>
                <w:rFonts w:ascii="宋体" w:hAnsi="宋体"/>
                <w:b/>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exact"/>
        </w:trPr>
        <w:tc>
          <w:tcPr>
            <w:tcW w:w="1450" w:type="dxa"/>
            <w:vMerge w:val="continue"/>
            <w:vAlign w:val="center"/>
          </w:tcPr>
          <w:p>
            <w:pPr>
              <w:spacing w:line="360" w:lineRule="exact"/>
              <w:jc w:val="center"/>
              <w:rPr>
                <w:rFonts w:ascii="宋体" w:hAnsi="宋体"/>
                <w:b/>
                <w:bCs/>
                <w:color w:val="000000"/>
                <w:szCs w:val="21"/>
              </w:rPr>
            </w:pPr>
          </w:p>
        </w:tc>
        <w:tc>
          <w:tcPr>
            <w:tcW w:w="3534" w:type="dxa"/>
            <w:gridSpan w:val="5"/>
            <w:vMerge w:val="continue"/>
            <w:vAlign w:val="center"/>
          </w:tcPr>
          <w:p>
            <w:pPr>
              <w:spacing w:line="360" w:lineRule="exact"/>
              <w:jc w:val="center"/>
              <w:rPr>
                <w:rFonts w:ascii="宋体" w:hAnsi="宋体"/>
                <w:b/>
                <w:bCs/>
                <w:color w:val="000000"/>
                <w:szCs w:val="21"/>
              </w:rPr>
            </w:pPr>
          </w:p>
        </w:tc>
        <w:tc>
          <w:tcPr>
            <w:tcW w:w="1356" w:type="dxa"/>
            <w:gridSpan w:val="2"/>
            <w:vAlign w:val="center"/>
          </w:tcPr>
          <w:p>
            <w:pPr>
              <w:spacing w:line="360" w:lineRule="exact"/>
              <w:jc w:val="center"/>
              <w:rPr>
                <w:rFonts w:ascii="宋体" w:hAnsi="宋体"/>
                <w:b/>
                <w:bCs/>
                <w:color w:val="000000"/>
                <w:szCs w:val="21"/>
              </w:rPr>
            </w:pPr>
            <w:r>
              <w:rPr>
                <w:rFonts w:hint="eastAsia" w:ascii="宋体" w:hAnsi="宋体"/>
                <w:b/>
                <w:bCs/>
                <w:color w:val="000000"/>
                <w:szCs w:val="21"/>
              </w:rPr>
              <w:t>语种</w:t>
            </w:r>
          </w:p>
        </w:tc>
        <w:tc>
          <w:tcPr>
            <w:tcW w:w="3285" w:type="dxa"/>
            <w:vAlign w:val="center"/>
          </w:tcPr>
          <w:p>
            <w:pPr>
              <w:spacing w:line="360" w:lineRule="exact"/>
              <w:jc w:val="center"/>
              <w:rPr>
                <w:rFonts w:ascii="宋体" w:hAnsi="宋体"/>
                <w:b/>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1450" w:type="dxa"/>
            <w:vAlign w:val="center"/>
          </w:tcPr>
          <w:p>
            <w:pPr>
              <w:spacing w:line="360" w:lineRule="exact"/>
              <w:jc w:val="center"/>
              <w:rPr>
                <w:rFonts w:ascii="宋体" w:hAnsi="宋体"/>
                <w:b/>
                <w:bCs/>
                <w:color w:val="000000"/>
                <w:spacing w:val="-12"/>
                <w:szCs w:val="21"/>
              </w:rPr>
            </w:pPr>
            <w:r>
              <w:rPr>
                <w:rFonts w:hint="eastAsia" w:ascii="宋体" w:hAnsi="宋体"/>
                <w:b/>
                <w:bCs/>
                <w:color w:val="000000"/>
                <w:spacing w:val="-12"/>
                <w:szCs w:val="21"/>
              </w:rPr>
              <w:t>作  者</w:t>
            </w:r>
          </w:p>
          <w:p>
            <w:pPr>
              <w:spacing w:line="360" w:lineRule="exact"/>
              <w:jc w:val="center"/>
              <w:rPr>
                <w:rFonts w:ascii="宋体" w:hAnsi="宋体"/>
                <w:b/>
                <w:bCs/>
                <w:color w:val="000000"/>
                <w:spacing w:val="-12"/>
                <w:szCs w:val="21"/>
              </w:rPr>
            </w:pPr>
            <w:r>
              <w:rPr>
                <w:rFonts w:hint="eastAsia" w:ascii="宋体" w:hAnsi="宋体"/>
                <w:b/>
                <w:bCs/>
                <w:color w:val="000000"/>
                <w:spacing w:val="-12"/>
                <w:szCs w:val="21"/>
              </w:rPr>
              <w:t>（主创人员）</w:t>
            </w:r>
          </w:p>
        </w:tc>
        <w:tc>
          <w:tcPr>
            <w:tcW w:w="2679" w:type="dxa"/>
            <w:gridSpan w:val="3"/>
            <w:vAlign w:val="center"/>
          </w:tcPr>
          <w:p>
            <w:pPr>
              <w:spacing w:line="360" w:lineRule="exact"/>
              <w:jc w:val="center"/>
              <w:rPr>
                <w:rFonts w:hint="default" w:ascii="宋体" w:hAnsi="宋体" w:eastAsia="宋体"/>
                <w:b/>
                <w:bCs/>
                <w:color w:val="000000"/>
                <w:szCs w:val="21"/>
                <w:lang w:val="en-US" w:eastAsia="zh-CN"/>
              </w:rPr>
            </w:pPr>
            <w:r>
              <w:rPr>
                <w:rFonts w:hint="eastAsia" w:ascii="宋体" w:hAnsi="宋体"/>
                <w:b/>
                <w:bCs/>
                <w:color w:val="000000"/>
                <w:szCs w:val="21"/>
                <w:lang w:val="en-US" w:eastAsia="zh-CN"/>
              </w:rPr>
              <w:t>傅群山 郑亚琴</w:t>
            </w:r>
          </w:p>
        </w:tc>
        <w:tc>
          <w:tcPr>
            <w:tcW w:w="855" w:type="dxa"/>
            <w:gridSpan w:val="2"/>
            <w:vAlign w:val="center"/>
          </w:tcPr>
          <w:p>
            <w:pPr>
              <w:spacing w:line="360" w:lineRule="exact"/>
              <w:jc w:val="center"/>
              <w:rPr>
                <w:rFonts w:ascii="宋体" w:hAnsi="宋体"/>
                <w:b/>
                <w:bCs/>
                <w:color w:val="000000"/>
                <w:szCs w:val="21"/>
              </w:rPr>
            </w:pPr>
            <w:r>
              <w:rPr>
                <w:rFonts w:hint="eastAsia" w:ascii="宋体" w:hAnsi="宋体"/>
                <w:b/>
                <w:bCs/>
                <w:color w:val="000000"/>
                <w:szCs w:val="21"/>
              </w:rPr>
              <w:t>编辑</w:t>
            </w:r>
          </w:p>
        </w:tc>
        <w:tc>
          <w:tcPr>
            <w:tcW w:w="4641" w:type="dxa"/>
            <w:gridSpan w:val="3"/>
            <w:vAlign w:val="center"/>
          </w:tcPr>
          <w:p>
            <w:pPr>
              <w:spacing w:line="360" w:lineRule="exact"/>
              <w:jc w:val="center"/>
              <w:rPr>
                <w:rFonts w:hint="eastAsia" w:ascii="宋体" w:hAnsi="宋体" w:eastAsia="宋体"/>
                <w:b/>
                <w:bCs/>
                <w:color w:val="000000"/>
                <w:w w:val="95"/>
                <w:szCs w:val="21"/>
                <w:lang w:eastAsia="zh-CN"/>
              </w:rPr>
            </w:pPr>
            <w:r>
              <w:rPr>
                <w:rFonts w:hint="eastAsia" w:ascii="宋体" w:hAnsi="宋体"/>
                <w:b/>
                <w:bCs/>
                <w:color w:val="000000"/>
                <w:szCs w:val="21"/>
                <w:lang w:val="en-US" w:eastAsia="zh-CN"/>
              </w:rPr>
              <w:t>郑亚琴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trPr>
        <w:tc>
          <w:tcPr>
            <w:tcW w:w="1450" w:type="dxa"/>
            <w:vAlign w:val="center"/>
          </w:tcPr>
          <w:p>
            <w:pPr>
              <w:spacing w:line="360" w:lineRule="exact"/>
              <w:jc w:val="center"/>
              <w:rPr>
                <w:rFonts w:ascii="宋体" w:hAnsi="宋体"/>
                <w:b/>
                <w:bCs/>
                <w:color w:val="000000"/>
                <w:szCs w:val="21"/>
              </w:rPr>
            </w:pPr>
            <w:r>
              <w:rPr>
                <w:rFonts w:hint="eastAsia" w:ascii="宋体" w:hAnsi="宋体"/>
                <w:b/>
                <w:bCs/>
                <w:color w:val="000000"/>
                <w:szCs w:val="21"/>
              </w:rPr>
              <w:t>原创单位</w:t>
            </w:r>
          </w:p>
        </w:tc>
        <w:tc>
          <w:tcPr>
            <w:tcW w:w="2679" w:type="dxa"/>
            <w:gridSpan w:val="3"/>
            <w:vAlign w:val="center"/>
          </w:tcPr>
          <w:p>
            <w:pPr>
              <w:spacing w:line="360" w:lineRule="exact"/>
              <w:jc w:val="center"/>
              <w:rPr>
                <w:rFonts w:ascii="宋体" w:hAnsi="宋体"/>
                <w:b/>
                <w:bCs/>
                <w:color w:val="000000"/>
                <w:szCs w:val="21"/>
              </w:rPr>
            </w:pPr>
            <w:r>
              <w:rPr>
                <w:rFonts w:hint="eastAsia" w:ascii="宋体" w:hAnsi="宋体"/>
                <w:b/>
                <w:bCs/>
                <w:color w:val="000000"/>
                <w:szCs w:val="21"/>
              </w:rPr>
              <w:t>广东广播电视台</w:t>
            </w:r>
          </w:p>
        </w:tc>
        <w:tc>
          <w:tcPr>
            <w:tcW w:w="855" w:type="dxa"/>
            <w:gridSpan w:val="2"/>
            <w:vAlign w:val="center"/>
          </w:tcPr>
          <w:p>
            <w:pPr>
              <w:spacing w:line="360" w:lineRule="exact"/>
              <w:jc w:val="center"/>
              <w:rPr>
                <w:rFonts w:ascii="宋体" w:hAnsi="宋体"/>
                <w:b/>
                <w:bCs/>
                <w:color w:val="000000"/>
                <w:szCs w:val="21"/>
              </w:rPr>
            </w:pPr>
            <w:r>
              <w:rPr>
                <w:rFonts w:hint="eastAsia" w:ascii="宋体" w:hAnsi="宋体"/>
                <w:b/>
                <w:bCs/>
                <w:color w:val="000000"/>
                <w:szCs w:val="21"/>
              </w:rPr>
              <w:t>刊播单位∕发布平台</w:t>
            </w:r>
          </w:p>
        </w:tc>
        <w:tc>
          <w:tcPr>
            <w:tcW w:w="4641" w:type="dxa"/>
            <w:gridSpan w:val="3"/>
            <w:vAlign w:val="center"/>
          </w:tcPr>
          <w:p>
            <w:pPr>
              <w:spacing w:line="360" w:lineRule="exact"/>
              <w:jc w:val="center"/>
              <w:rPr>
                <w:rFonts w:ascii="宋体" w:hAnsi="宋体"/>
                <w:b/>
                <w:bCs/>
                <w:color w:val="000000"/>
                <w:szCs w:val="21"/>
                <w:highlight w:val="green"/>
              </w:rPr>
            </w:pPr>
            <w:r>
              <w:rPr>
                <w:rFonts w:hint="eastAsia" w:ascii="宋体" w:hAnsi="宋体"/>
                <w:b/>
                <w:bCs/>
                <w:color w:val="000000"/>
                <w:szCs w:val="21"/>
              </w:rPr>
              <w:t>《</w:t>
            </w:r>
            <w:r>
              <w:rPr>
                <w:rFonts w:hint="eastAsia" w:ascii="宋体" w:hAnsi="宋体"/>
                <w:b/>
                <w:bCs/>
                <w:color w:val="000000"/>
                <w:szCs w:val="21"/>
                <w:lang w:val="en-US" w:eastAsia="zh-CN"/>
              </w:rPr>
              <w:t>新闻战线</w:t>
            </w:r>
            <w:r>
              <w:rPr>
                <w:rFonts w:hint="eastAsia" w:ascii="宋体" w:hAnsi="宋体"/>
                <w:b/>
                <w:bCs/>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3" w:hRule="exact"/>
        </w:trPr>
        <w:tc>
          <w:tcPr>
            <w:tcW w:w="1450" w:type="dxa"/>
            <w:vAlign w:val="center"/>
          </w:tcPr>
          <w:p>
            <w:pPr>
              <w:spacing w:line="360" w:lineRule="exact"/>
              <w:jc w:val="center"/>
              <w:rPr>
                <w:rFonts w:ascii="宋体" w:hAnsi="宋体"/>
                <w:b/>
                <w:bCs/>
                <w:color w:val="000000"/>
                <w:szCs w:val="21"/>
              </w:rPr>
            </w:pPr>
            <w:r>
              <w:rPr>
                <w:rFonts w:hint="eastAsia" w:ascii="宋体" w:hAnsi="宋体"/>
                <w:b/>
                <w:bCs/>
                <w:color w:val="000000"/>
                <w:szCs w:val="21"/>
              </w:rPr>
              <w:t>刊播版面</w:t>
            </w:r>
            <w:r>
              <w:rPr>
                <w:rFonts w:hint="eastAsia" w:ascii="宋体" w:hAnsi="宋体"/>
                <w:b/>
                <w:bCs/>
                <w:color w:val="000000"/>
                <w:spacing w:val="-12"/>
                <w:szCs w:val="21"/>
              </w:rPr>
              <w:t>(名称和版次)∕频率频道</w:t>
            </w:r>
          </w:p>
        </w:tc>
        <w:tc>
          <w:tcPr>
            <w:tcW w:w="2679" w:type="dxa"/>
            <w:gridSpan w:val="3"/>
            <w:vAlign w:val="center"/>
          </w:tcPr>
          <w:p>
            <w:pPr>
              <w:spacing w:line="360" w:lineRule="exact"/>
              <w:jc w:val="center"/>
              <w:rPr>
                <w:rFonts w:ascii="宋体" w:hAnsi="宋体"/>
                <w:b/>
                <w:bCs/>
                <w:color w:val="000000"/>
                <w:szCs w:val="21"/>
              </w:rPr>
            </w:pPr>
            <w:r>
              <w:rPr>
                <w:rFonts w:hint="eastAsia" w:ascii="宋体" w:hAnsi="宋体"/>
                <w:b/>
                <w:bCs/>
                <w:color w:val="000000"/>
                <w:szCs w:val="21"/>
                <w:lang w:val="en-US" w:eastAsia="zh-CN"/>
              </w:rPr>
              <w:t>2022年12月（下）</w:t>
            </w:r>
          </w:p>
        </w:tc>
        <w:tc>
          <w:tcPr>
            <w:tcW w:w="855" w:type="dxa"/>
            <w:gridSpan w:val="2"/>
            <w:vAlign w:val="center"/>
          </w:tcPr>
          <w:p>
            <w:pPr>
              <w:spacing w:line="360" w:lineRule="exact"/>
              <w:jc w:val="center"/>
              <w:rPr>
                <w:rFonts w:ascii="宋体" w:hAnsi="宋体"/>
                <w:b/>
                <w:bCs/>
                <w:color w:val="000000"/>
                <w:szCs w:val="21"/>
              </w:rPr>
            </w:pPr>
            <w:r>
              <w:rPr>
                <w:rFonts w:hint="eastAsia" w:ascii="宋体" w:hAnsi="宋体"/>
                <w:b/>
                <w:bCs/>
                <w:color w:val="000000"/>
                <w:szCs w:val="21"/>
              </w:rPr>
              <w:t>刊播∕发布日期</w:t>
            </w:r>
          </w:p>
        </w:tc>
        <w:tc>
          <w:tcPr>
            <w:tcW w:w="4641" w:type="dxa"/>
            <w:gridSpan w:val="3"/>
            <w:vAlign w:val="center"/>
          </w:tcPr>
          <w:p>
            <w:pPr>
              <w:spacing w:line="360" w:lineRule="exact"/>
              <w:jc w:val="center"/>
              <w:rPr>
                <w:rFonts w:hint="default" w:ascii="宋体" w:hAnsi="宋体" w:eastAsia="宋体"/>
                <w:b/>
                <w:bCs/>
                <w:color w:val="000000"/>
                <w:szCs w:val="21"/>
                <w:lang w:val="en-US" w:eastAsia="zh-CN"/>
              </w:rPr>
            </w:pPr>
            <w:r>
              <w:rPr>
                <w:rFonts w:hint="eastAsia" w:ascii="宋体" w:hAnsi="宋体"/>
                <w:b/>
                <w:bCs/>
                <w:color w:val="000000"/>
                <w:szCs w:val="21"/>
                <w:lang w:val="en-US" w:eastAsia="zh-CN"/>
              </w:rPr>
              <w:t>2022年12月25日</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exact"/>
        </w:trPr>
        <w:tc>
          <w:tcPr>
            <w:tcW w:w="2827" w:type="dxa"/>
            <w:gridSpan w:val="3"/>
            <w:vAlign w:val="center"/>
          </w:tcPr>
          <w:p>
            <w:pPr>
              <w:spacing w:line="360" w:lineRule="exact"/>
              <w:rPr>
                <w:rFonts w:ascii="宋体" w:hAnsi="宋体"/>
                <w:b/>
                <w:bCs/>
                <w:color w:val="000000"/>
                <w:szCs w:val="21"/>
              </w:rPr>
            </w:pPr>
            <w:r>
              <w:rPr>
                <w:rFonts w:hint="eastAsia" w:ascii="宋体" w:hAnsi="宋体"/>
                <w:b/>
                <w:bCs/>
                <w:color w:val="000000"/>
                <w:szCs w:val="21"/>
              </w:rPr>
              <w:t>新媒体作品填报链接和二维码</w:t>
            </w:r>
          </w:p>
        </w:tc>
        <w:tc>
          <w:tcPr>
            <w:tcW w:w="6798" w:type="dxa"/>
            <w:gridSpan w:val="6"/>
            <w:vAlign w:val="center"/>
          </w:tcPr>
          <w:p>
            <w:pPr>
              <w:spacing w:line="360" w:lineRule="exact"/>
              <w:rPr>
                <w:rFonts w:ascii="宋体" w:hAnsi="宋体"/>
                <w:b/>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526" w:type="dxa"/>
            <w:gridSpan w:val="2"/>
            <w:vAlign w:val="center"/>
          </w:tcPr>
          <w:p>
            <w:pPr>
              <w:spacing w:line="360" w:lineRule="exact"/>
              <w:jc w:val="center"/>
              <w:rPr>
                <w:rFonts w:ascii="宋体" w:hAnsi="宋体"/>
                <w:b/>
                <w:bCs/>
                <w:color w:val="000000"/>
                <w:szCs w:val="21"/>
              </w:rPr>
            </w:pPr>
            <w:r>
              <w:rPr>
                <w:rFonts w:hint="eastAsia" w:ascii="宋体" w:hAnsi="宋体"/>
                <w:b/>
                <w:bCs/>
                <w:color w:val="000000"/>
                <w:szCs w:val="21"/>
              </w:rPr>
              <w:t xml:space="preserve">  ︵</w:t>
            </w:r>
          </w:p>
          <w:p>
            <w:pPr>
              <w:spacing w:line="360" w:lineRule="exact"/>
              <w:jc w:val="center"/>
              <w:rPr>
                <w:rFonts w:ascii="宋体" w:hAnsi="宋体"/>
                <w:b/>
                <w:bCs/>
                <w:color w:val="000000"/>
                <w:szCs w:val="21"/>
              </w:rPr>
            </w:pPr>
            <w:r>
              <w:rPr>
                <w:rFonts w:hint="eastAsia" w:ascii="宋体" w:hAnsi="宋体"/>
                <w:b/>
                <w:bCs/>
                <w:color w:val="000000"/>
                <w:szCs w:val="21"/>
              </w:rPr>
              <w:t>作采</w:t>
            </w:r>
          </w:p>
          <w:p>
            <w:pPr>
              <w:spacing w:line="360" w:lineRule="exact"/>
              <w:jc w:val="center"/>
              <w:rPr>
                <w:rFonts w:ascii="宋体" w:hAnsi="宋体"/>
                <w:b/>
                <w:bCs/>
                <w:color w:val="000000"/>
                <w:szCs w:val="21"/>
              </w:rPr>
            </w:pPr>
            <w:r>
              <w:rPr>
                <w:rFonts w:hint="eastAsia" w:ascii="宋体" w:hAnsi="宋体"/>
                <w:b/>
                <w:bCs/>
                <w:color w:val="000000"/>
                <w:szCs w:val="21"/>
              </w:rPr>
              <w:t>品编</w:t>
            </w:r>
          </w:p>
          <w:p>
            <w:pPr>
              <w:spacing w:line="360" w:lineRule="exact"/>
              <w:jc w:val="center"/>
              <w:rPr>
                <w:rFonts w:ascii="宋体" w:hAnsi="宋体"/>
                <w:b/>
                <w:bCs/>
                <w:color w:val="000000"/>
                <w:szCs w:val="21"/>
              </w:rPr>
            </w:pPr>
            <w:r>
              <w:rPr>
                <w:rFonts w:hint="eastAsia" w:ascii="宋体" w:hAnsi="宋体"/>
                <w:b/>
                <w:bCs/>
                <w:color w:val="000000"/>
                <w:szCs w:val="21"/>
              </w:rPr>
              <w:t>简过</w:t>
            </w:r>
          </w:p>
          <w:p>
            <w:pPr>
              <w:spacing w:line="360" w:lineRule="exact"/>
              <w:jc w:val="center"/>
              <w:rPr>
                <w:rFonts w:ascii="宋体" w:hAnsi="宋体"/>
                <w:b/>
                <w:bCs/>
                <w:color w:val="000000"/>
                <w:szCs w:val="21"/>
              </w:rPr>
            </w:pPr>
            <w:r>
              <w:rPr>
                <w:rFonts w:hint="eastAsia" w:ascii="宋体" w:hAnsi="宋体"/>
                <w:b/>
                <w:bCs/>
                <w:color w:val="000000"/>
                <w:szCs w:val="21"/>
              </w:rPr>
              <w:t>介程</w:t>
            </w:r>
          </w:p>
          <w:p>
            <w:pPr>
              <w:spacing w:line="360" w:lineRule="exact"/>
              <w:jc w:val="center"/>
              <w:rPr>
                <w:rFonts w:ascii="宋体" w:hAnsi="宋体"/>
                <w:b/>
                <w:bCs/>
                <w:color w:val="000000"/>
                <w:szCs w:val="21"/>
              </w:rPr>
            </w:pPr>
            <w:r>
              <w:rPr>
                <w:rFonts w:hint="eastAsia" w:ascii="宋体" w:hAnsi="宋体"/>
                <w:b/>
                <w:bCs/>
                <w:color w:val="000000"/>
                <w:szCs w:val="21"/>
              </w:rPr>
              <w:t xml:space="preserve">  ︶</w:t>
            </w:r>
          </w:p>
        </w:tc>
        <w:tc>
          <w:tcPr>
            <w:tcW w:w="8099" w:type="dxa"/>
            <w:gridSpan w:val="7"/>
            <w:vAlign w:val="center"/>
          </w:tcPr>
          <w:p>
            <w:pPr>
              <w:spacing w:line="360" w:lineRule="exact"/>
              <w:ind w:firstLine="422" w:firstLineChars="200"/>
              <w:rPr>
                <w:rFonts w:hint="eastAsia" w:ascii="宋体" w:hAnsi="宋体"/>
                <w:b/>
                <w:bCs/>
                <w:color w:val="000000"/>
                <w:szCs w:val="21"/>
                <w:lang w:val="en-US" w:eastAsia="zh-CN"/>
              </w:rPr>
            </w:pPr>
            <w:r>
              <w:rPr>
                <w:rFonts w:hint="eastAsia" w:ascii="宋体" w:hAnsi="宋体"/>
                <w:b/>
                <w:bCs/>
                <w:color w:val="000000"/>
                <w:szCs w:val="21"/>
                <w:lang w:val="en-US" w:eastAsia="zh-CN"/>
              </w:rPr>
              <w:t>媒体融合是时代发展的必然趋势，也是全国广电系统面临的一项紧迫课题。习近平总书记多次强调，主流媒体必须紧跟时代，大胆运用新技术、新机制、新模式，加快融合发展步伐，实现宣传效果的最大化和最优化。“飞越广东”融媒项目正是广东广播电视台以项目促媒体融合的一个重要抓手。</w:t>
            </w:r>
          </w:p>
          <w:p>
            <w:pPr>
              <w:spacing w:line="360" w:lineRule="exact"/>
              <w:ind w:firstLine="422" w:firstLineChars="200"/>
              <w:rPr>
                <w:rFonts w:hint="eastAsia" w:ascii="宋体" w:hAnsi="宋体"/>
                <w:b/>
                <w:bCs/>
                <w:color w:val="000000"/>
                <w:szCs w:val="21"/>
                <w:lang w:val="en-US" w:eastAsia="zh-CN"/>
              </w:rPr>
            </w:pPr>
            <w:r>
              <w:rPr>
                <w:rFonts w:hint="eastAsia" w:ascii="宋体" w:hAnsi="宋体"/>
                <w:b/>
                <w:bCs/>
                <w:color w:val="000000"/>
                <w:szCs w:val="21"/>
                <w:lang w:val="en-US" w:eastAsia="zh-CN"/>
              </w:rPr>
              <w:t>在新闻业务研究的过程中，作者以2019年至2022年连续4年深度参与“飞越广东”5季节目所积累起来的大量实战案例为依托，围绕长期在融媒改革一线工作所面临的难点痛点为解剖点，系统梳理了重大主题报道的融合创新之道，深度分析了主流媒体如何在高质量完成重大主题报道宣传任务的同时</w:t>
            </w:r>
            <w:r>
              <w:rPr>
                <w:rFonts w:hint="eastAsia" w:ascii="宋体" w:hAnsi="宋体"/>
                <w:b/>
                <w:bCs/>
                <w:color w:val="000000"/>
                <w:szCs w:val="21"/>
              </w:rPr>
              <w:t>，</w:t>
            </w:r>
            <w:r>
              <w:rPr>
                <w:rFonts w:hint="eastAsia" w:ascii="宋体" w:hAnsi="宋体"/>
                <w:b/>
                <w:bCs/>
                <w:color w:val="000000"/>
                <w:szCs w:val="21"/>
                <w:lang w:val="en-US" w:eastAsia="zh-CN"/>
              </w:rPr>
              <w:t>又能以项目促改革，推动新闻业务领域媒体融合向纵深发展。</w:t>
            </w:r>
          </w:p>
          <w:p>
            <w:pPr>
              <w:spacing w:line="360" w:lineRule="exact"/>
              <w:ind w:firstLine="422" w:firstLineChars="200"/>
              <w:rPr>
                <w:rFonts w:hint="default" w:ascii="宋体" w:hAnsi="宋体"/>
                <w:b/>
                <w:bCs/>
                <w:color w:val="000000"/>
                <w:szCs w:val="21"/>
                <w:lang w:val="en-US"/>
              </w:rPr>
            </w:pPr>
            <w:r>
              <w:rPr>
                <w:rFonts w:hint="eastAsia" w:ascii="宋体" w:hAnsi="宋体"/>
                <w:b/>
                <w:bCs/>
                <w:color w:val="000000"/>
                <w:szCs w:val="21"/>
                <w:lang w:val="en-US" w:eastAsia="zh-CN"/>
              </w:rPr>
              <w:t>业务研究过程中，作者认为，重大主题报道的融合创新，一是要以内容建设为根本，深度挖掘融媒语态内涵；二是要联动资源拓宽边界，积极探索“新闻+政务服务商务”；三是要以项目为抓手实现融媒内容生产的流程再造，逐步重构结构合理、差异发展、协同高效的人才队伍，最终实现以项目促改革，推动媒介资源、生产要素的有效整合，推动信息内容、技术应用，平台终端、人才队伍的共享融通。</w:t>
            </w:r>
          </w:p>
          <w:p>
            <w:pPr>
              <w:spacing w:line="360" w:lineRule="exact"/>
              <w:ind w:firstLine="400" w:firstLineChars="200"/>
              <w:rPr>
                <w:rFonts w:ascii="宋体" w:hAnsi="宋体"/>
                <w:b/>
                <w:bCs/>
                <w:color w:val="000000"/>
                <w:w w:val="95"/>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9" w:hRule="atLeast"/>
        </w:trPr>
        <w:tc>
          <w:tcPr>
            <w:tcW w:w="1526" w:type="dxa"/>
            <w:gridSpan w:val="2"/>
            <w:vAlign w:val="center"/>
          </w:tcPr>
          <w:p>
            <w:pPr>
              <w:spacing w:line="360" w:lineRule="exact"/>
              <w:jc w:val="center"/>
              <w:rPr>
                <w:rFonts w:ascii="宋体" w:hAnsi="宋体"/>
                <w:b/>
                <w:bCs/>
                <w:color w:val="000000"/>
                <w:szCs w:val="21"/>
              </w:rPr>
            </w:pPr>
            <w:r>
              <w:rPr>
                <w:rFonts w:hint="eastAsia" w:ascii="宋体" w:hAnsi="宋体"/>
                <w:b/>
                <w:bCs/>
                <w:color w:val="000000"/>
                <w:szCs w:val="21"/>
              </w:rPr>
              <w:t>社</w:t>
            </w:r>
          </w:p>
          <w:p>
            <w:pPr>
              <w:spacing w:line="360" w:lineRule="exact"/>
              <w:jc w:val="center"/>
              <w:rPr>
                <w:rFonts w:ascii="宋体" w:hAnsi="宋体"/>
                <w:b/>
                <w:bCs/>
                <w:color w:val="000000"/>
                <w:szCs w:val="21"/>
              </w:rPr>
            </w:pPr>
            <w:r>
              <w:rPr>
                <w:rFonts w:hint="eastAsia" w:ascii="宋体" w:hAnsi="宋体"/>
                <w:b/>
                <w:bCs/>
                <w:color w:val="000000"/>
                <w:szCs w:val="21"/>
              </w:rPr>
              <w:t>会</w:t>
            </w:r>
          </w:p>
          <w:p>
            <w:pPr>
              <w:spacing w:line="360" w:lineRule="exact"/>
              <w:jc w:val="center"/>
              <w:rPr>
                <w:rFonts w:ascii="宋体" w:hAnsi="宋体"/>
                <w:b/>
                <w:bCs/>
                <w:color w:val="000000"/>
                <w:szCs w:val="21"/>
              </w:rPr>
            </w:pPr>
            <w:r>
              <w:rPr>
                <w:rFonts w:hint="eastAsia" w:ascii="宋体" w:hAnsi="宋体"/>
                <w:b/>
                <w:bCs/>
                <w:color w:val="000000"/>
                <w:szCs w:val="21"/>
              </w:rPr>
              <w:t>效</w:t>
            </w:r>
          </w:p>
          <w:p>
            <w:pPr>
              <w:spacing w:line="360" w:lineRule="exact"/>
              <w:jc w:val="center"/>
              <w:rPr>
                <w:rFonts w:ascii="宋体" w:hAnsi="宋体"/>
                <w:b/>
                <w:bCs/>
                <w:color w:val="000000"/>
                <w:szCs w:val="21"/>
              </w:rPr>
            </w:pPr>
            <w:r>
              <w:rPr>
                <w:rFonts w:hint="eastAsia" w:ascii="宋体" w:hAnsi="宋体"/>
                <w:b/>
                <w:bCs/>
                <w:color w:val="000000"/>
                <w:szCs w:val="21"/>
              </w:rPr>
              <w:t>果</w:t>
            </w:r>
          </w:p>
        </w:tc>
        <w:tc>
          <w:tcPr>
            <w:tcW w:w="8099" w:type="dxa"/>
            <w:gridSpan w:val="7"/>
            <w:vAlign w:val="center"/>
          </w:tcPr>
          <w:p>
            <w:pPr>
              <w:spacing w:line="360" w:lineRule="exact"/>
              <w:ind w:firstLine="422" w:firstLineChars="200"/>
              <w:rPr>
                <w:rFonts w:hint="eastAsia" w:ascii="宋体" w:hAnsi="宋体"/>
                <w:b/>
                <w:bCs/>
                <w:color w:val="000000"/>
                <w:szCs w:val="21"/>
                <w:lang w:val="en-US" w:eastAsia="zh-CN"/>
              </w:rPr>
            </w:pPr>
            <w:r>
              <w:rPr>
                <w:rFonts w:hint="eastAsia" w:ascii="宋体" w:hAnsi="宋体"/>
                <w:b/>
                <w:bCs/>
                <w:color w:val="000000"/>
                <w:szCs w:val="21"/>
                <w:lang w:val="en-US" w:eastAsia="zh-CN"/>
              </w:rPr>
              <w:t>广电是媒体融合的主战场、主力军。近几年来，从中央到地方，各级广电媒体都已经开始了融合之路。本文以广东台大量实战案例为研究样本，深度探讨了在理念、内容、传播、技术、体制机制等方面有关键性创新和较大改革的举措，深度剖析了主流媒体以重大主题报道项目为抓手推进媒体融合的模式路径，以及此路径下融合发展模式的可持续性。</w:t>
            </w:r>
          </w:p>
          <w:p>
            <w:pPr>
              <w:spacing w:line="360" w:lineRule="exact"/>
              <w:ind w:firstLine="422" w:firstLineChars="200"/>
              <w:rPr>
                <w:rFonts w:ascii="宋体" w:hAnsi="宋体"/>
                <w:b/>
                <w:bCs/>
                <w:color w:val="000000"/>
                <w:szCs w:val="21"/>
              </w:rPr>
            </w:pPr>
            <w:r>
              <w:rPr>
                <w:rFonts w:hint="eastAsia" w:ascii="宋体" w:hAnsi="宋体"/>
                <w:b/>
                <w:bCs/>
                <w:szCs w:val="21"/>
              </w:rPr>
              <w:t>该作品于</w:t>
            </w:r>
            <w:r>
              <w:rPr>
                <w:rFonts w:ascii="宋体" w:hAnsi="宋体"/>
                <w:b/>
                <w:bCs/>
                <w:szCs w:val="21"/>
              </w:rPr>
              <w:t>2022年</w:t>
            </w:r>
            <w:r>
              <w:rPr>
                <w:rFonts w:hint="eastAsia" w:ascii="宋体" w:hAnsi="宋体"/>
                <w:b/>
                <w:bCs/>
                <w:szCs w:val="21"/>
                <w:lang w:val="en-US" w:eastAsia="zh-CN"/>
              </w:rPr>
              <w:t>12</w:t>
            </w:r>
            <w:r>
              <w:rPr>
                <w:rFonts w:ascii="宋体" w:hAnsi="宋体"/>
                <w:b/>
                <w:bCs/>
                <w:szCs w:val="21"/>
              </w:rPr>
              <w:t>月</w:t>
            </w:r>
            <w:r>
              <w:rPr>
                <w:rFonts w:hint="eastAsia" w:ascii="宋体" w:hAnsi="宋体"/>
                <w:b/>
                <w:bCs/>
                <w:szCs w:val="21"/>
                <w:lang w:val="en-US" w:eastAsia="zh-CN"/>
              </w:rPr>
              <w:t>被全国新闻核心期刊、国家百种重点期刊</w:t>
            </w:r>
            <w:r>
              <w:rPr>
                <w:rFonts w:ascii="宋体" w:hAnsi="宋体"/>
                <w:b/>
                <w:bCs/>
                <w:szCs w:val="21"/>
              </w:rPr>
              <w:t>《</w:t>
            </w:r>
            <w:r>
              <w:rPr>
                <w:rFonts w:hint="eastAsia" w:ascii="宋体" w:hAnsi="宋体"/>
                <w:b/>
                <w:bCs/>
                <w:szCs w:val="21"/>
                <w:lang w:val="en-US" w:eastAsia="zh-CN"/>
              </w:rPr>
              <w:t>新闻战线</w:t>
            </w:r>
            <w:r>
              <w:rPr>
                <w:rFonts w:ascii="宋体" w:hAnsi="宋体"/>
                <w:b/>
                <w:bCs/>
                <w:szCs w:val="21"/>
              </w:rPr>
              <w:t>》</w:t>
            </w:r>
            <w:r>
              <w:rPr>
                <w:rFonts w:hint="eastAsia" w:ascii="宋体" w:hAnsi="宋体"/>
                <w:b/>
                <w:bCs/>
                <w:szCs w:val="21"/>
                <w:lang w:val="en-US" w:eastAsia="zh-CN"/>
              </w:rPr>
              <w:t>采用刊发</w:t>
            </w:r>
            <w:r>
              <w:rPr>
                <w:rFonts w:hint="eastAsia" w:ascii="宋体" w:hAnsi="宋体"/>
                <w:b/>
                <w:bCs/>
                <w:szCs w:val="21"/>
                <w:lang w:eastAsia="zh-CN"/>
              </w:rPr>
              <w:t>。</w:t>
            </w:r>
            <w:r>
              <w:rPr>
                <w:rFonts w:hint="eastAsia" w:ascii="宋体" w:hAnsi="宋体"/>
                <w:b/>
                <w:bCs/>
                <w:szCs w:val="21"/>
              </w:rPr>
              <w:t>作品</w:t>
            </w:r>
            <w:r>
              <w:rPr>
                <w:rFonts w:hint="eastAsia" w:ascii="宋体" w:hAnsi="宋体"/>
                <w:b/>
                <w:bCs/>
                <w:szCs w:val="21"/>
                <w:lang w:val="en-US" w:eastAsia="zh-CN"/>
              </w:rPr>
              <w:t>发表</w:t>
            </w:r>
            <w:r>
              <w:rPr>
                <w:rFonts w:hint="eastAsia" w:ascii="宋体" w:hAnsi="宋体"/>
                <w:b/>
                <w:bCs/>
                <w:szCs w:val="21"/>
              </w:rPr>
              <w:t>后，</w:t>
            </w:r>
            <w:r>
              <w:rPr>
                <w:rFonts w:hint="eastAsia" w:ascii="宋体" w:hAnsi="宋体"/>
                <w:b/>
                <w:bCs/>
                <w:szCs w:val="21"/>
                <w:lang w:val="en-US" w:eastAsia="zh-CN"/>
              </w:rPr>
              <w:t>随即作为优质论文在“新闻战线”官方公众号头条向媒体业界学界专题推送，</w:t>
            </w:r>
            <w:r>
              <w:rPr>
                <w:rFonts w:hint="eastAsia" w:ascii="宋体" w:hAnsi="宋体"/>
                <w:b/>
                <w:bCs/>
                <w:color w:val="000000"/>
                <w:szCs w:val="21"/>
                <w:lang w:val="en-US" w:eastAsia="zh-CN"/>
              </w:rPr>
              <w:t>为业界学界提供了来自广电实践一线的鲜活案例和理论分析，业务研究得出的模式和经验可复制、可推广，有较强的借鉴意义和应用价值，获得业界一致好评。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1" w:hRule="exact"/>
        </w:trPr>
        <w:tc>
          <w:tcPr>
            <w:tcW w:w="1526" w:type="dxa"/>
            <w:gridSpan w:val="2"/>
            <w:vAlign w:val="center"/>
          </w:tcPr>
          <w:p>
            <w:pPr>
              <w:spacing w:line="360" w:lineRule="exact"/>
              <w:jc w:val="center"/>
              <w:rPr>
                <w:rFonts w:ascii="宋体" w:hAnsi="宋体"/>
                <w:b/>
                <w:bCs/>
                <w:color w:val="000000"/>
                <w:szCs w:val="21"/>
              </w:rPr>
            </w:pPr>
            <w:r>
              <w:rPr>
                <w:rFonts w:hint="eastAsia" w:ascii="宋体" w:hAnsi="宋体"/>
                <w:b/>
                <w:bCs/>
                <w:color w:val="000000"/>
                <w:szCs w:val="21"/>
              </w:rPr>
              <w:t>推</w:t>
            </w:r>
          </w:p>
          <w:p>
            <w:pPr>
              <w:spacing w:line="360" w:lineRule="exact"/>
              <w:jc w:val="center"/>
              <w:rPr>
                <w:rFonts w:ascii="宋体" w:hAnsi="宋体"/>
                <w:b/>
                <w:bCs/>
                <w:color w:val="000000"/>
                <w:szCs w:val="21"/>
              </w:rPr>
            </w:pPr>
            <w:r>
              <w:rPr>
                <w:rFonts w:hint="eastAsia" w:ascii="宋体" w:hAnsi="宋体"/>
                <w:b/>
                <w:bCs/>
                <w:color w:val="000000"/>
                <w:szCs w:val="21"/>
              </w:rPr>
              <w:t>荐</w:t>
            </w:r>
          </w:p>
          <w:p>
            <w:pPr>
              <w:spacing w:line="360" w:lineRule="exact"/>
              <w:jc w:val="center"/>
              <w:rPr>
                <w:rFonts w:ascii="宋体" w:hAnsi="宋体"/>
                <w:b/>
                <w:bCs/>
                <w:color w:val="000000"/>
                <w:szCs w:val="21"/>
              </w:rPr>
            </w:pPr>
            <w:r>
              <w:rPr>
                <w:rFonts w:hint="eastAsia" w:ascii="宋体" w:hAnsi="宋体"/>
                <w:b/>
                <w:bCs/>
                <w:color w:val="000000"/>
                <w:szCs w:val="21"/>
              </w:rPr>
              <w:t>评</w:t>
            </w:r>
          </w:p>
          <w:p>
            <w:pPr>
              <w:spacing w:line="360" w:lineRule="exact"/>
              <w:jc w:val="center"/>
              <w:rPr>
                <w:rFonts w:ascii="宋体" w:hAnsi="宋体"/>
                <w:b/>
                <w:bCs/>
                <w:color w:val="000000"/>
                <w:szCs w:val="21"/>
              </w:rPr>
            </w:pPr>
            <w:r>
              <w:rPr>
                <w:rFonts w:hint="eastAsia" w:ascii="宋体" w:hAnsi="宋体"/>
                <w:b/>
                <w:bCs/>
                <w:color w:val="000000"/>
                <w:szCs w:val="21"/>
              </w:rPr>
              <w:t>语</w:t>
            </w:r>
          </w:p>
          <w:p>
            <w:pPr>
              <w:spacing w:line="360" w:lineRule="exact"/>
              <w:jc w:val="center"/>
              <w:rPr>
                <w:rFonts w:ascii="宋体" w:hAnsi="宋体"/>
                <w:b/>
                <w:bCs/>
                <w:color w:val="000000"/>
                <w:szCs w:val="21"/>
              </w:rPr>
            </w:pPr>
          </w:p>
        </w:tc>
        <w:tc>
          <w:tcPr>
            <w:tcW w:w="8099" w:type="dxa"/>
            <w:gridSpan w:val="7"/>
            <w:vAlign w:val="center"/>
          </w:tcPr>
          <w:p>
            <w:pPr>
              <w:spacing w:line="360" w:lineRule="exact"/>
              <w:ind w:firstLine="422" w:firstLineChars="200"/>
              <w:rPr>
                <w:rFonts w:hint="default" w:ascii="宋体" w:hAnsi="宋体"/>
                <w:b/>
                <w:bCs/>
                <w:color w:val="000000"/>
                <w:szCs w:val="21"/>
                <w:lang w:val="en-US"/>
              </w:rPr>
            </w:pPr>
            <w:r>
              <w:rPr>
                <w:rFonts w:hint="eastAsia" w:ascii="宋体" w:hAnsi="宋体"/>
                <w:b/>
                <w:bCs/>
                <w:color w:val="000000"/>
                <w:szCs w:val="21"/>
                <w:lang w:val="en-US" w:eastAsia="zh-CN"/>
              </w:rPr>
              <w:t>本文聚焦媒体融合发展实践重点与难点，传递出行业丰富的实践探索、具体的改革举措和深刻的理论思考，具备较高的参考价值。</w:t>
            </w:r>
          </w:p>
          <w:p>
            <w:pPr>
              <w:spacing w:line="360" w:lineRule="exact"/>
              <w:ind w:firstLine="422" w:firstLineChars="200"/>
              <w:rPr>
                <w:rFonts w:ascii="宋体" w:hAnsi="宋体"/>
                <w:b/>
                <w:bCs/>
                <w:color w:val="000000"/>
                <w:szCs w:val="21"/>
              </w:rPr>
            </w:pPr>
            <w:r>
              <w:rPr>
                <w:rFonts w:hint="eastAsia" w:ascii="宋体" w:hAnsi="宋体"/>
                <w:b/>
                <w:bCs/>
                <w:color w:val="000000"/>
                <w:szCs w:val="21"/>
              </w:rPr>
              <w:t xml:space="preserve">          </w:t>
            </w:r>
          </w:p>
          <w:p>
            <w:pPr>
              <w:spacing w:line="360" w:lineRule="exact"/>
              <w:rPr>
                <w:rFonts w:ascii="宋体" w:hAnsi="宋体"/>
                <w:b/>
                <w:bCs/>
                <w:color w:val="000000"/>
                <w:szCs w:val="21"/>
              </w:rPr>
            </w:pPr>
            <w:r>
              <w:rPr>
                <w:rFonts w:hint="eastAsia" w:ascii="宋体" w:hAnsi="宋体"/>
                <w:b/>
                <w:bCs/>
                <w:color w:val="000000"/>
                <w:spacing w:val="-2"/>
                <w:szCs w:val="21"/>
              </w:rPr>
              <w:t xml:space="preserve">                          </w:t>
            </w:r>
            <w:r>
              <w:rPr>
                <w:rFonts w:ascii="宋体" w:hAnsi="宋体"/>
                <w:b/>
                <w:bCs/>
                <w:color w:val="000000"/>
                <w:spacing w:val="-2"/>
                <w:szCs w:val="21"/>
              </w:rPr>
              <w:t xml:space="preserve">   </w:t>
            </w:r>
            <w:r>
              <w:rPr>
                <w:rFonts w:hint="eastAsia" w:ascii="宋体" w:hAnsi="宋体"/>
                <w:b/>
                <w:bCs/>
                <w:color w:val="000000"/>
                <w:spacing w:val="-2"/>
                <w:szCs w:val="21"/>
              </w:rPr>
              <w:t xml:space="preserve"> 签名：</w:t>
            </w:r>
            <w:r>
              <w:rPr>
                <w:rFonts w:hint="eastAsia" w:ascii="宋体" w:hAnsi="宋体"/>
                <w:b/>
                <w:bCs/>
                <w:color w:val="000000"/>
                <w:szCs w:val="21"/>
              </w:rPr>
              <w:t>（盖单位公章）</w:t>
            </w:r>
          </w:p>
          <w:p>
            <w:pPr>
              <w:spacing w:line="360" w:lineRule="exact"/>
              <w:rPr>
                <w:rFonts w:ascii="宋体" w:hAnsi="宋体"/>
                <w:b/>
                <w:bCs/>
                <w:color w:val="000000"/>
                <w:szCs w:val="21"/>
              </w:rPr>
            </w:pPr>
            <w:r>
              <w:rPr>
                <w:rFonts w:hint="eastAsia" w:ascii="宋体" w:hAnsi="宋体"/>
                <w:b/>
                <w:bCs/>
                <w:color w:val="000000"/>
                <w:szCs w:val="21"/>
              </w:rPr>
              <w:t xml:space="preserve">                                 </w:t>
            </w:r>
            <w:r>
              <w:rPr>
                <w:rFonts w:ascii="宋体" w:hAnsi="宋体"/>
                <w:b/>
                <w:bCs/>
                <w:color w:val="000000"/>
                <w:szCs w:val="21"/>
              </w:rPr>
              <w:t>20</w:t>
            </w:r>
            <w:r>
              <w:rPr>
                <w:rFonts w:hint="eastAsia" w:ascii="宋体" w:hAnsi="宋体"/>
                <w:b/>
                <w:bCs/>
                <w:color w:val="000000"/>
                <w:szCs w:val="21"/>
              </w:rPr>
              <w:t>23</w:t>
            </w:r>
            <w:r>
              <w:rPr>
                <w:rFonts w:ascii="宋体" w:hAnsi="宋体"/>
                <w:b/>
                <w:bCs/>
                <w:color w:val="000000"/>
                <w:szCs w:val="21"/>
              </w:rPr>
              <w:t xml:space="preserve">年  </w:t>
            </w:r>
            <w:r>
              <w:rPr>
                <w:rFonts w:hint="eastAsia" w:ascii="宋体" w:hAnsi="宋体"/>
                <w:b/>
                <w:bCs/>
                <w:color w:val="000000"/>
                <w:szCs w:val="21"/>
              </w:rPr>
              <w:t>月</w:t>
            </w:r>
            <w:r>
              <w:rPr>
                <w:rFonts w:ascii="宋体" w:hAnsi="宋体"/>
                <w:b/>
                <w:bCs/>
                <w:color w:val="000000"/>
                <w:szCs w:val="21"/>
              </w:rPr>
              <w:t xml:space="preserve">  </w:t>
            </w:r>
            <w:r>
              <w:rPr>
                <w:rFonts w:hint="eastAsia" w:ascii="宋体" w:hAnsi="宋体"/>
                <w:b/>
                <w:bCs/>
                <w:color w:val="00000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0" w:hRule="exact"/>
        </w:trPr>
        <w:tc>
          <w:tcPr>
            <w:tcW w:w="1526" w:type="dxa"/>
            <w:gridSpan w:val="2"/>
            <w:vAlign w:val="center"/>
          </w:tcPr>
          <w:p>
            <w:pPr>
              <w:spacing w:line="360" w:lineRule="exact"/>
              <w:jc w:val="center"/>
              <w:rPr>
                <w:rFonts w:ascii="宋体" w:hAnsi="宋体"/>
                <w:b/>
                <w:bCs/>
                <w:color w:val="000000"/>
                <w:szCs w:val="21"/>
              </w:rPr>
            </w:pPr>
            <w:r>
              <w:rPr>
                <w:rFonts w:hint="eastAsia" w:ascii="宋体" w:hAnsi="宋体"/>
                <w:b/>
                <w:bCs/>
                <w:color w:val="000000"/>
                <w:szCs w:val="21"/>
              </w:rPr>
              <w:t>联系人</w:t>
            </w:r>
          </w:p>
        </w:tc>
        <w:tc>
          <w:tcPr>
            <w:tcW w:w="3369" w:type="dxa"/>
            <w:gridSpan w:val="3"/>
            <w:vAlign w:val="center"/>
          </w:tcPr>
          <w:p>
            <w:pPr>
              <w:spacing w:line="360" w:lineRule="exact"/>
              <w:rPr>
                <w:rFonts w:hint="eastAsia" w:ascii="宋体" w:hAnsi="宋体" w:eastAsia="宋体"/>
                <w:b/>
                <w:bCs/>
                <w:color w:val="000000"/>
                <w:szCs w:val="21"/>
                <w:lang w:val="en-US" w:eastAsia="zh-CN"/>
              </w:rPr>
            </w:pPr>
            <w:r>
              <w:rPr>
                <w:rFonts w:hint="eastAsia" w:ascii="宋体" w:hAnsi="宋体"/>
                <w:b/>
                <w:bCs/>
                <w:color w:val="000000"/>
                <w:szCs w:val="21"/>
                <w:lang w:val="en-US" w:eastAsia="zh-CN"/>
              </w:rPr>
              <w:t>郑亚琴</w:t>
            </w:r>
          </w:p>
        </w:tc>
        <w:tc>
          <w:tcPr>
            <w:tcW w:w="1167" w:type="dxa"/>
            <w:gridSpan w:val="2"/>
            <w:vAlign w:val="center"/>
          </w:tcPr>
          <w:p>
            <w:pPr>
              <w:spacing w:line="360" w:lineRule="exact"/>
              <w:rPr>
                <w:rFonts w:ascii="宋体" w:hAnsi="宋体"/>
                <w:b/>
                <w:bCs/>
                <w:color w:val="000000"/>
                <w:szCs w:val="21"/>
              </w:rPr>
            </w:pPr>
            <w:r>
              <w:rPr>
                <w:rFonts w:hint="eastAsia" w:ascii="宋体" w:hAnsi="宋体"/>
                <w:b/>
                <w:bCs/>
                <w:color w:val="000000"/>
                <w:szCs w:val="21"/>
              </w:rPr>
              <w:t>手机</w:t>
            </w:r>
          </w:p>
        </w:tc>
        <w:tc>
          <w:tcPr>
            <w:tcW w:w="3563" w:type="dxa"/>
            <w:gridSpan w:val="2"/>
            <w:vAlign w:val="center"/>
          </w:tcPr>
          <w:p>
            <w:pPr>
              <w:spacing w:line="360" w:lineRule="exact"/>
              <w:rPr>
                <w:rFonts w:hint="default" w:ascii="宋体" w:hAnsi="宋体" w:eastAsia="宋体"/>
                <w:b/>
                <w:bCs/>
                <w:color w:val="000000"/>
                <w:szCs w:val="21"/>
                <w:lang w:val="en-US" w:eastAsia="zh-CN"/>
              </w:rPr>
            </w:pPr>
            <w:r>
              <w:rPr>
                <w:rFonts w:hint="eastAsia" w:ascii="宋体" w:hAnsi="宋体"/>
                <w:b/>
                <w:bCs/>
                <w:color w:val="000000"/>
                <w:szCs w:val="21"/>
                <w:lang w:val="en-US" w:eastAsia="zh-CN"/>
              </w:rPr>
              <w:t>13632320119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8" w:hRule="exact"/>
        </w:trPr>
        <w:tc>
          <w:tcPr>
            <w:tcW w:w="1526" w:type="dxa"/>
            <w:gridSpan w:val="2"/>
            <w:tcBorders>
              <w:bottom w:val="single" w:color="auto" w:sz="4" w:space="0"/>
            </w:tcBorders>
            <w:vAlign w:val="center"/>
          </w:tcPr>
          <w:p>
            <w:pPr>
              <w:spacing w:line="360" w:lineRule="exact"/>
              <w:jc w:val="center"/>
              <w:rPr>
                <w:rFonts w:ascii="宋体" w:hAnsi="宋体"/>
                <w:b/>
                <w:bCs/>
                <w:color w:val="000000"/>
                <w:szCs w:val="21"/>
              </w:rPr>
            </w:pPr>
            <w:r>
              <w:rPr>
                <w:rFonts w:hint="eastAsia" w:ascii="宋体" w:hAnsi="宋体"/>
                <w:b/>
                <w:bCs/>
                <w:color w:val="000000"/>
                <w:szCs w:val="21"/>
              </w:rPr>
              <w:t>电话</w:t>
            </w:r>
          </w:p>
        </w:tc>
        <w:tc>
          <w:tcPr>
            <w:tcW w:w="3369" w:type="dxa"/>
            <w:gridSpan w:val="3"/>
            <w:tcBorders>
              <w:bottom w:val="single" w:color="auto" w:sz="4" w:space="0"/>
            </w:tcBorders>
            <w:vAlign w:val="center"/>
          </w:tcPr>
          <w:p>
            <w:pPr>
              <w:spacing w:line="360" w:lineRule="exact"/>
              <w:rPr>
                <w:rFonts w:hint="default" w:ascii="宋体" w:hAnsi="宋体" w:eastAsia="宋体"/>
                <w:b/>
                <w:bCs/>
                <w:color w:val="000000"/>
                <w:szCs w:val="21"/>
                <w:lang w:val="en-US" w:eastAsia="zh-CN"/>
              </w:rPr>
            </w:pPr>
            <w:r>
              <w:rPr>
                <w:rFonts w:hint="eastAsia" w:ascii="宋体" w:hAnsi="宋体"/>
                <w:b/>
                <w:bCs/>
                <w:color w:val="000000"/>
                <w:szCs w:val="21"/>
                <w:lang w:val="en-US" w:eastAsia="zh-CN"/>
              </w:rPr>
              <w:t>13632320119</w:t>
            </w:r>
          </w:p>
        </w:tc>
        <w:tc>
          <w:tcPr>
            <w:tcW w:w="1167" w:type="dxa"/>
            <w:gridSpan w:val="2"/>
            <w:tcBorders>
              <w:bottom w:val="single" w:color="auto" w:sz="4" w:space="0"/>
            </w:tcBorders>
            <w:vAlign w:val="center"/>
          </w:tcPr>
          <w:p>
            <w:pPr>
              <w:spacing w:line="360" w:lineRule="exact"/>
              <w:rPr>
                <w:rFonts w:ascii="宋体" w:hAnsi="宋体"/>
                <w:b/>
                <w:bCs/>
                <w:color w:val="000000"/>
                <w:szCs w:val="21"/>
              </w:rPr>
            </w:pPr>
            <w:r>
              <w:rPr>
                <w:rFonts w:hint="eastAsia" w:ascii="宋体" w:hAnsi="宋体"/>
                <w:b/>
                <w:bCs/>
                <w:color w:val="000000"/>
                <w:szCs w:val="21"/>
              </w:rPr>
              <w:t>邮箱</w:t>
            </w:r>
          </w:p>
        </w:tc>
        <w:tc>
          <w:tcPr>
            <w:tcW w:w="3563" w:type="dxa"/>
            <w:gridSpan w:val="2"/>
            <w:tcBorders>
              <w:bottom w:val="single" w:color="auto" w:sz="4" w:space="0"/>
            </w:tcBorders>
            <w:vAlign w:val="center"/>
          </w:tcPr>
          <w:p>
            <w:pPr>
              <w:spacing w:line="360" w:lineRule="exact"/>
              <w:rPr>
                <w:rFonts w:hint="default" w:ascii="宋体" w:hAnsi="宋体" w:eastAsia="宋体"/>
                <w:b/>
                <w:bCs/>
                <w:color w:val="000000"/>
                <w:szCs w:val="21"/>
                <w:lang w:val="en-US" w:eastAsia="zh-CN"/>
              </w:rPr>
            </w:pPr>
            <w:r>
              <w:rPr>
                <w:rFonts w:hint="eastAsia" w:ascii="宋体" w:hAnsi="宋体"/>
                <w:b/>
                <w:bCs/>
                <w:color w:val="000000"/>
                <w:szCs w:val="21"/>
                <w:lang w:val="en-US" w:eastAsia="zh-CN"/>
              </w:rPr>
              <w:t>gdtvzyq@163.com</w:t>
            </w:r>
          </w:p>
        </w:tc>
      </w:tr>
    </w:tbl>
    <w:p>
      <w:pPr>
        <w:spacing w:after="156" w:afterLines="50" w:line="360" w:lineRule="exact"/>
        <w:rPr>
          <w:rFonts w:ascii="黑体" w:hAnsi="黑体" w:eastAsia="黑体"/>
          <w:sz w:val="34"/>
          <w:szCs w:val="3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c3YjBjMjUyYzgwZjI5ZjM2NDhhY2RjZmQ1MWZiZDcifQ=="/>
    <w:docVar w:name="KSO_WPS_MARK_KEY" w:val="bd372fbe-20e2-4f1c-9381-3e5a9c3ee5cb"/>
  </w:docVars>
  <w:rsids>
    <w:rsidRoot w:val="00DD239D"/>
    <w:rsid w:val="00023C3A"/>
    <w:rsid w:val="001D473A"/>
    <w:rsid w:val="00227AB7"/>
    <w:rsid w:val="00250B8B"/>
    <w:rsid w:val="0046608A"/>
    <w:rsid w:val="004A0D30"/>
    <w:rsid w:val="005813A4"/>
    <w:rsid w:val="006464C0"/>
    <w:rsid w:val="00711AD3"/>
    <w:rsid w:val="00717DBE"/>
    <w:rsid w:val="00AB1B19"/>
    <w:rsid w:val="00B36ED1"/>
    <w:rsid w:val="00BA200F"/>
    <w:rsid w:val="00C8010E"/>
    <w:rsid w:val="00D01E8A"/>
    <w:rsid w:val="00D53040"/>
    <w:rsid w:val="00D7383F"/>
    <w:rsid w:val="00DD239D"/>
    <w:rsid w:val="00DE2A8D"/>
    <w:rsid w:val="00EF5E9D"/>
    <w:rsid w:val="00F04A45"/>
    <w:rsid w:val="00FD78D9"/>
    <w:rsid w:val="053A1C64"/>
    <w:rsid w:val="22C473DD"/>
    <w:rsid w:val="39BA7DF4"/>
    <w:rsid w:val="6A49294B"/>
    <w:rsid w:val="6AAC66A9"/>
    <w:rsid w:val="6B9F6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rFonts w:ascii="Calibri" w:hAnsi="Calibri" w:eastAsia="宋体" w:cs="Times New Roman"/>
      <w:sz w:val="18"/>
      <w:szCs w:val="18"/>
    </w:rPr>
  </w:style>
  <w:style w:type="character" w:customStyle="1" w:styleId="7">
    <w:name w:val="页脚 字符"/>
    <w:basedOn w:val="5"/>
    <w:link w:val="2"/>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1029</Words>
  <Characters>1085</Characters>
  <Lines>7</Lines>
  <Paragraphs>2</Paragraphs>
  <TotalTime>0</TotalTime>
  <ScaleCrop>false</ScaleCrop>
  <LinksUpToDate>false</LinksUpToDate>
  <CharactersWithSpaces>1169</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2023-02-19T13:55:00Z</dcterms:created>
  <dc:creator>KF5284</dc:creator>
  <cp:lastModifiedBy>郑亚琴</cp:lastModifiedBy>
  <cp:lastPrinted>2023-02-20T02:52:00Z</cp:lastPrinted>
  <dcterms:modified xsi:type="dcterms:W3CDTF">2023-02-21T06:05:23Z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E40ADE5E82D0487AA058E97FCE0BC2EA</vt:lpwstr>
  </property>
</Properties>
</file>