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16" w:lineRule="auto"/>
        <w:rPr>
          <w:rFonts w:ascii="Times New Roman" w:hAnsi="Times New Roman"/>
          <w:sz w:val="33"/>
        </w:rPr>
      </w:pPr>
    </w:p>
    <w:p>
      <w:pPr>
        <w:spacing w:line="216" w:lineRule="auto"/>
        <w:jc w:val="center"/>
        <w:rPr>
          <w:rFonts w:hint="eastAsia" w:ascii="Times New Roman" w:hAnsi="Times New Roman" w:eastAsia="华文中宋" w:cs="华文中宋"/>
          <w:b/>
          <w:color w:val="000000"/>
          <w:sz w:val="36"/>
          <w:szCs w:val="36"/>
        </w:rPr>
      </w:pPr>
      <w:r>
        <w:rPr>
          <w:rFonts w:hint="eastAsia" w:ascii="Times New Roman" w:hAnsi="Times New Roman" w:eastAsia="华文中宋" w:cs="华文中宋"/>
          <w:b/>
          <w:color w:val="000000"/>
          <w:sz w:val="36"/>
          <w:szCs w:val="36"/>
        </w:rPr>
        <w:t>代表作登记表</w:t>
      </w:r>
    </w:p>
    <w:p>
      <w:pPr>
        <w:spacing w:line="216" w:lineRule="auto"/>
        <w:jc w:val="center"/>
        <w:rPr>
          <w:rFonts w:hint="eastAsia" w:ascii="Times New Roman" w:hAnsi="Times New Roman" w:eastAsia="华文中宋" w:cs="华文中宋"/>
          <w:b/>
          <w:color w:val="000000"/>
          <w:sz w:val="36"/>
          <w:szCs w:val="36"/>
        </w:rPr>
      </w:pPr>
    </w:p>
    <w:tbl>
      <w:tblPr>
        <w:tblStyle w:val="4"/>
        <w:tblW w:w="10100" w:type="dxa"/>
        <w:jc w:val="center"/>
        <w:tblBorders>
          <w:top w:val="single" w:color="FFFFFF" w:sz="4" w:space="0"/>
          <w:left w:val="single" w:color="FFFFFF" w:sz="4" w:space="0"/>
          <w:bottom w:val="single" w:color="FFFFFF" w:sz="4" w:space="0"/>
          <w:right w:val="single" w:color="FFFFFF" w:sz="4" w:space="0"/>
          <w:insideH w:val="single" w:color="FFFFFF" w:sz="4" w:space="0"/>
          <w:insideV w:val="single" w:color="FFFFFF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2663"/>
        <w:gridCol w:w="12"/>
        <w:gridCol w:w="1791"/>
        <w:gridCol w:w="1762"/>
        <w:gridCol w:w="3872"/>
      </w:tblGrid>
      <w:tr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</w:tblPrEx>
        <w:trPr>
          <w:trHeight w:val="620" w:hRule="atLeast"/>
          <w:jc w:val="center"/>
        </w:trPr>
        <w:tc>
          <w:tcPr>
            <w:tcW w:w="2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 w:eastAsia="仿宋_GB2312" w:cs="宋体"/>
                <w:sz w:val="32"/>
                <w:szCs w:val="32"/>
              </w:rPr>
            </w:pPr>
            <w:r>
              <w:rPr>
                <w:rFonts w:hint="eastAsia" w:ascii="Times New Roman" w:hAnsi="Times New Roman" w:eastAsia="仿宋_GB2312" w:cs="宋体"/>
                <w:color w:val="000000"/>
                <w:sz w:val="32"/>
                <w:szCs w:val="32"/>
              </w:rPr>
              <w:t>作者姓名</w:t>
            </w:r>
          </w:p>
        </w:tc>
        <w:tc>
          <w:tcPr>
            <w:tcW w:w="1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32"/>
                <w:szCs w:val="32"/>
              </w:rPr>
            </w:pPr>
            <w:r>
              <w:rPr>
                <w:rFonts w:hint="eastAsia" w:ascii="Times New Roman" w:hAnsi="Times New Roman" w:eastAsia="仿宋_GB2312" w:cs="仿宋_GB2312"/>
                <w:sz w:val="32"/>
                <w:szCs w:val="32"/>
              </w:rPr>
              <w:t>曾小强</w:t>
            </w:r>
          </w:p>
        </w:tc>
        <w:tc>
          <w:tcPr>
            <w:tcW w:w="1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32"/>
                <w:szCs w:val="32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32"/>
                <w:szCs w:val="32"/>
              </w:rPr>
              <w:t>所在单位</w:t>
            </w:r>
          </w:p>
        </w:tc>
        <w:tc>
          <w:tcPr>
            <w:tcW w:w="3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32"/>
                <w:szCs w:val="32"/>
              </w:rPr>
            </w:pPr>
            <w:r>
              <w:rPr>
                <w:rFonts w:hint="eastAsia" w:ascii="Times New Roman" w:hAnsi="Times New Roman" w:eastAsia="仿宋_GB2312" w:cs="仿宋_GB2312"/>
                <w:sz w:val="32"/>
                <w:szCs w:val="32"/>
              </w:rPr>
              <w:t>广东广播电视台</w:t>
            </w:r>
          </w:p>
        </w:tc>
      </w:tr>
      <w:tr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20" w:hRule="atLeast"/>
          <w:jc w:val="center"/>
        </w:trPr>
        <w:tc>
          <w:tcPr>
            <w:tcW w:w="2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 w:eastAsia="宋体" w:cs="宋体"/>
                <w:sz w:val="32"/>
                <w:szCs w:val="32"/>
              </w:rPr>
            </w:pPr>
            <w:r>
              <w:rPr>
                <w:rFonts w:hint="eastAsia" w:ascii="Times New Roman" w:hAnsi="Times New Roman" w:eastAsia="仿宋_GB2312" w:cs="宋体"/>
                <w:color w:val="000000"/>
                <w:sz w:val="32"/>
                <w:szCs w:val="32"/>
              </w:rPr>
              <w:t>作品标题</w:t>
            </w:r>
          </w:p>
        </w:tc>
        <w:tc>
          <w:tcPr>
            <w:tcW w:w="743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Times New Roman" w:hAnsi="Times New Roman" w:eastAsia="仿宋_GB2312" w:cs="仿宋_GB2312"/>
                <w:sz w:val="32"/>
                <w:szCs w:val="32"/>
              </w:rPr>
            </w:pPr>
            <w:bookmarkStart w:id="0" w:name="_Hlk208475227"/>
            <w:r>
              <w:rPr>
                <w:rFonts w:hint="eastAsia" w:ascii="Times New Roman" w:hAnsi="Times New Roman" w:eastAsia="仿宋_GB2312" w:cs="仿宋_GB2312"/>
                <w:sz w:val="32"/>
                <w:szCs w:val="32"/>
              </w:rPr>
              <w:t>【小强快评】</w:t>
            </w:r>
            <w:bookmarkEnd w:id="0"/>
            <w:r>
              <w:rPr>
                <w:rFonts w:hint="eastAsia" w:ascii="Times New Roman" w:hAnsi="Times New Roman" w:eastAsia="仿宋_GB2312" w:cs="仿宋_GB2312"/>
                <w:sz w:val="32"/>
                <w:szCs w:val="32"/>
              </w:rPr>
              <w:t>未来的中国将会是什么样？这场大会给出了答案</w:t>
            </w:r>
          </w:p>
        </w:tc>
      </w:tr>
      <w:tr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40" w:hRule="atLeast"/>
          <w:jc w:val="center"/>
        </w:trPr>
        <w:tc>
          <w:tcPr>
            <w:tcW w:w="2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 w:eastAsia="宋体" w:cs="宋体"/>
                <w:sz w:val="32"/>
                <w:szCs w:val="32"/>
              </w:rPr>
            </w:pPr>
            <w:r>
              <w:rPr>
                <w:rFonts w:hint="eastAsia" w:ascii="Times New Roman" w:hAnsi="Times New Roman" w:eastAsia="仿宋_GB2312" w:cs="宋体"/>
                <w:color w:val="000000"/>
                <w:sz w:val="32"/>
                <w:szCs w:val="32"/>
              </w:rPr>
              <w:t>作品刊播单位</w:t>
            </w:r>
          </w:p>
        </w:tc>
        <w:tc>
          <w:tcPr>
            <w:tcW w:w="1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32"/>
                <w:szCs w:val="32"/>
              </w:rPr>
            </w:pPr>
            <w:r>
              <w:rPr>
                <w:rFonts w:hint="eastAsia" w:ascii="Times New Roman" w:hAnsi="Times New Roman" w:eastAsia="仿宋_GB2312" w:cs="仿宋_GB2312"/>
                <w:sz w:val="32"/>
                <w:szCs w:val="32"/>
              </w:rPr>
              <w:t>广东广播电视台</w:t>
            </w:r>
          </w:p>
        </w:tc>
        <w:tc>
          <w:tcPr>
            <w:tcW w:w="1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32"/>
                <w:szCs w:val="32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32"/>
                <w:szCs w:val="32"/>
              </w:rPr>
              <w:t>刊播日期</w:t>
            </w:r>
          </w:p>
        </w:tc>
        <w:tc>
          <w:tcPr>
            <w:tcW w:w="3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32"/>
                <w:szCs w:val="32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32"/>
                <w:szCs w:val="32"/>
              </w:rPr>
              <w:t>202</w:t>
            </w:r>
            <w:r>
              <w:rPr>
                <w:rFonts w:hint="eastAsia" w:ascii="Times New Roman" w:hAnsi="Times New Roman" w:eastAsia="仿宋_GB2312" w:cs="仿宋_GB2312"/>
                <w:color w:val="000000"/>
                <w:sz w:val="32"/>
                <w:szCs w:val="32"/>
                <w:lang w:val="en-US" w:eastAsia="zh-CN"/>
              </w:rPr>
              <w:t>4</w:t>
            </w:r>
            <w:r>
              <w:rPr>
                <w:rFonts w:hint="eastAsia" w:ascii="Times New Roman" w:hAnsi="Times New Roman" w:eastAsia="仿宋_GB2312" w:cs="仿宋_GB2312"/>
                <w:color w:val="000000"/>
                <w:sz w:val="32"/>
                <w:szCs w:val="32"/>
              </w:rPr>
              <w:t>年</w:t>
            </w:r>
            <w:r>
              <w:rPr>
                <w:rFonts w:hint="eastAsia" w:ascii="Times New Roman" w:hAnsi="Times New Roman" w:eastAsia="仿宋_GB2312" w:cs="仿宋_GB2312"/>
                <w:color w:val="000000"/>
                <w:sz w:val="32"/>
                <w:szCs w:val="32"/>
                <w:lang w:val="en-US" w:eastAsia="zh-CN"/>
              </w:rPr>
              <w:t>7</w:t>
            </w:r>
            <w:r>
              <w:rPr>
                <w:rFonts w:hint="eastAsia" w:ascii="Times New Roman" w:hAnsi="Times New Roman" w:eastAsia="仿宋_GB2312" w:cs="仿宋_GB2312"/>
                <w:color w:val="000000"/>
                <w:sz w:val="32"/>
                <w:szCs w:val="32"/>
              </w:rPr>
              <w:t>月</w:t>
            </w:r>
            <w:r>
              <w:rPr>
                <w:rFonts w:hint="eastAsia" w:ascii="Times New Roman" w:hAnsi="Times New Roman" w:eastAsia="仿宋_GB2312" w:cs="仿宋_GB2312"/>
                <w:color w:val="000000"/>
                <w:sz w:val="32"/>
                <w:szCs w:val="32"/>
                <w:lang w:val="en-US" w:eastAsia="zh-CN"/>
              </w:rPr>
              <w:t>20</w:t>
            </w:r>
            <w:r>
              <w:rPr>
                <w:rFonts w:hint="eastAsia" w:ascii="Times New Roman" w:hAnsi="Times New Roman" w:eastAsia="仿宋_GB2312" w:cs="仿宋_GB2312"/>
                <w:color w:val="000000"/>
                <w:sz w:val="32"/>
                <w:szCs w:val="32"/>
              </w:rPr>
              <w:t>日</w:t>
            </w:r>
          </w:p>
        </w:tc>
      </w:tr>
      <w:tr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40" w:hRule="atLeast"/>
          <w:jc w:val="center"/>
        </w:trPr>
        <w:tc>
          <w:tcPr>
            <w:tcW w:w="2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 w:eastAsia="仿宋_GB2312" w:cs="宋体"/>
                <w:color w:val="000000"/>
                <w:sz w:val="32"/>
                <w:szCs w:val="32"/>
              </w:rPr>
            </w:pPr>
            <w:r>
              <w:rPr>
                <w:rFonts w:hint="eastAsia" w:ascii="Times New Roman" w:hAnsi="Times New Roman" w:eastAsia="仿宋_GB2312" w:cs="宋体"/>
                <w:color w:val="000000"/>
                <w:sz w:val="32"/>
                <w:szCs w:val="32"/>
              </w:rPr>
              <w:t>作品字数或时长</w:t>
            </w:r>
          </w:p>
        </w:tc>
        <w:tc>
          <w:tcPr>
            <w:tcW w:w="1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color w:val="000000"/>
                <w:sz w:val="32"/>
                <w:szCs w:val="32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32"/>
                <w:szCs w:val="32"/>
              </w:rPr>
              <w:t>3分</w:t>
            </w:r>
            <w:r>
              <w:rPr>
                <w:rFonts w:hint="eastAsia" w:ascii="Times New Roman" w:hAnsi="Times New Roman" w:eastAsia="仿宋_GB2312" w:cs="仿宋_GB2312"/>
                <w:color w:val="000000"/>
                <w:sz w:val="32"/>
                <w:szCs w:val="32"/>
                <w:lang w:val="en-US" w:eastAsia="zh-CN"/>
              </w:rPr>
              <w:t>29</w:t>
            </w:r>
            <w:r>
              <w:rPr>
                <w:rFonts w:hint="eastAsia" w:ascii="Times New Roman" w:hAnsi="Times New Roman" w:eastAsia="仿宋_GB2312" w:cs="仿宋_GB2312"/>
                <w:color w:val="000000"/>
                <w:sz w:val="32"/>
                <w:szCs w:val="32"/>
              </w:rPr>
              <w:t>秒</w:t>
            </w:r>
          </w:p>
        </w:tc>
        <w:tc>
          <w:tcPr>
            <w:tcW w:w="1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32"/>
                <w:szCs w:val="32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32"/>
                <w:szCs w:val="32"/>
              </w:rPr>
              <w:t>作品体裁</w:t>
            </w:r>
          </w:p>
        </w:tc>
        <w:tc>
          <w:tcPr>
            <w:tcW w:w="3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32"/>
                <w:szCs w:val="32"/>
              </w:rPr>
            </w:pPr>
            <w:r>
              <w:rPr>
                <w:rFonts w:hint="eastAsia" w:ascii="Times New Roman" w:hAnsi="Times New Roman" w:eastAsia="仿宋_GB2312" w:cs="仿宋_GB2312"/>
                <w:sz w:val="32"/>
                <w:szCs w:val="32"/>
              </w:rPr>
              <w:t>评论</w:t>
            </w:r>
          </w:p>
        </w:tc>
      </w:tr>
      <w:tr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50" w:hRule="atLeast"/>
          <w:jc w:val="center"/>
        </w:trPr>
        <w:tc>
          <w:tcPr>
            <w:tcW w:w="26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color w:val="000000"/>
                <w:sz w:val="32"/>
                <w:szCs w:val="32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32"/>
                <w:szCs w:val="32"/>
              </w:rPr>
              <w:t>作品传播数据</w:t>
            </w:r>
          </w:p>
        </w:tc>
        <w:tc>
          <w:tcPr>
            <w:tcW w:w="7425" w:type="dxa"/>
            <w:gridSpan w:val="3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Times New Roman" w:hAnsi="Times New Roman" w:eastAsia="仿宋_GB2312" w:cs="仿宋_GB2312"/>
                <w:color w:val="000000"/>
                <w:sz w:val="32"/>
                <w:szCs w:val="32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32"/>
                <w:szCs w:val="32"/>
              </w:rPr>
              <w:t>播放量</w:t>
            </w:r>
            <w:r>
              <w:rPr>
                <w:rFonts w:hint="eastAsia" w:ascii="Times New Roman" w:hAnsi="Times New Roman" w:eastAsia="仿宋_GB2312" w:cs="仿宋_GB2312"/>
                <w:color w:val="000000"/>
                <w:sz w:val="32"/>
                <w:szCs w:val="32"/>
                <w:lang w:val="en-US" w:eastAsia="zh-CN"/>
              </w:rPr>
              <w:t>500</w:t>
            </w:r>
            <w:r>
              <w:rPr>
                <w:rFonts w:hint="eastAsia" w:ascii="Times New Roman" w:hAnsi="Times New Roman" w:eastAsia="仿宋_GB2312" w:cs="仿宋_GB2312"/>
                <w:color w:val="000000"/>
                <w:sz w:val="32"/>
                <w:szCs w:val="32"/>
              </w:rPr>
              <w:t>万，点赞量3.8万</w:t>
            </w:r>
          </w:p>
        </w:tc>
      </w:tr>
      <w:tr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691" w:hRule="atLeast"/>
          <w:jc w:val="center"/>
        </w:trPr>
        <w:tc>
          <w:tcPr>
            <w:tcW w:w="10100" w:type="dxa"/>
            <w:gridSpan w:val="5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Times New Roman" w:hAnsi="Times New Roman" w:eastAsia="仿宋_GB2312" w:cs="仿宋_GB2312"/>
                <w:color w:val="000000"/>
                <w:sz w:val="32"/>
                <w:szCs w:val="32"/>
              </w:rPr>
            </w:pPr>
            <w:r>
              <w:rPr>
                <w:rFonts w:hint="eastAsia" w:ascii="Times New Roman" w:hAnsi="Times New Roman" w:eastAsia="仿宋_GB2312" w:cs="宋体"/>
                <w:color w:val="000000"/>
                <w:sz w:val="32"/>
                <w:szCs w:val="32"/>
              </w:rPr>
              <w:t>推荐理由（采写简况、作品评价、社会效果、传播数据、获奖情况）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640" w:firstLineChars="200"/>
              <w:textAlignment w:val="auto"/>
              <w:rPr>
                <w:rFonts w:hint="eastAsia" w:ascii="Times New Roman" w:hAnsi="Times New Roman" w:eastAsia="仿宋_GB2312" w:cs="仿宋_GB2312"/>
                <w:color w:val="000000"/>
                <w:sz w:val="32"/>
                <w:szCs w:val="32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32"/>
                <w:szCs w:val="32"/>
              </w:rPr>
              <w:t>一、采写简况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640" w:firstLineChars="200"/>
              <w:textAlignment w:val="auto"/>
              <w:rPr>
                <w:rFonts w:hint="eastAsia" w:ascii="Times New Roman" w:hAnsi="Times New Roman" w:eastAsia="仿宋_GB2312" w:cs="仿宋_GB2312"/>
                <w:color w:val="000000"/>
                <w:sz w:val="32"/>
                <w:szCs w:val="32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32"/>
                <w:szCs w:val="32"/>
              </w:rPr>
              <w:t>二十届三中全会，被视为继1978年十一届三中全会后，中国在改革开放道路上的又一个重要里程碑。全会结束后，作者迅速推出评论，对这一历史性时刻进行解读，具有很强的时效性和现实针对性。评论采用了历史与未来相呼应的视角，用“时光穿梭”的浪漫手法，回顾改革开放40多年来的数据变化，映照“时代变革”与“个人命运”的紧密相连，进一步拉近与受众的距离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640" w:firstLineChars="200"/>
              <w:textAlignment w:val="auto"/>
              <w:rPr>
                <w:rFonts w:hint="eastAsia" w:ascii="Times New Roman" w:hAnsi="Times New Roman" w:eastAsia="仿宋_GB2312" w:cs="仿宋_GB2312"/>
                <w:color w:val="000000"/>
                <w:sz w:val="32"/>
                <w:szCs w:val="32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32"/>
                <w:szCs w:val="32"/>
              </w:rPr>
              <w:t>二、作品评价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640" w:firstLineChars="200"/>
              <w:textAlignment w:val="auto"/>
              <w:rPr>
                <w:rFonts w:hint="eastAsia" w:ascii="Times New Roman" w:hAnsi="Times New Roman" w:eastAsia="仿宋_GB2312" w:cs="仿宋_GB2312"/>
                <w:color w:val="000000"/>
                <w:sz w:val="32"/>
                <w:szCs w:val="32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32"/>
                <w:szCs w:val="32"/>
              </w:rPr>
              <w:t>作品紧扣国家重大政治议程，准确把握了进一步全面深化改革、推进中国式现代化的时代主题，具有鲜明的政策导向性和积极向上的基调。通过对比45年前后的变化，并指出从“改革”到“全面深化改革”再到“进一步全面深化改革”的演进 ，文章赋予了论述以历史深度，帮助读者理解当前改革的历史方位和连续性。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640" w:firstLineChars="200"/>
              <w:textAlignment w:val="auto"/>
              <w:rPr>
                <w:rFonts w:hint="eastAsia" w:ascii="Times New Roman" w:hAnsi="Times New Roman" w:eastAsia="仿宋_GB2312" w:cs="仿宋_GB2312"/>
                <w:color w:val="000000"/>
                <w:sz w:val="32"/>
                <w:szCs w:val="32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32"/>
                <w:szCs w:val="32"/>
              </w:rPr>
              <w:t>作品不仅聚焦宏观战略，更注重将宏大叙事与百姓关切相结合，具体列举了全会回应民生痛点的改革方向，如完善收入分配、健全社保体系、深化医改、健全生育支持政策等，体现了“人民至上”的价值取向 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640" w:firstLineChars="200"/>
              <w:textAlignment w:val="auto"/>
              <w:rPr>
                <w:rFonts w:hint="eastAsia" w:ascii="Times New Roman" w:hAnsi="Times New Roman" w:eastAsia="仿宋_GB2312" w:cs="仿宋_GB2312"/>
                <w:color w:val="000000"/>
                <w:sz w:val="32"/>
                <w:szCs w:val="32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32"/>
                <w:szCs w:val="32"/>
              </w:rPr>
              <w:t>作为视频评论，它避免了生硬的政策解读，而是通过娓娓道来的方式，试图激发读者的情感共鸣和历史责任感，结尾“奋进，将是我们中国人共同的答案” 具有很强的鼓动性和凝聚力。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640" w:firstLineChars="200"/>
              <w:textAlignment w:val="auto"/>
              <w:rPr>
                <w:rFonts w:hint="eastAsia" w:ascii="Times New Roman" w:hAnsi="Times New Roman" w:eastAsia="仿宋_GB2312" w:cs="仿宋_GB2312"/>
                <w:color w:val="000000"/>
                <w:sz w:val="32"/>
                <w:szCs w:val="32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32"/>
                <w:szCs w:val="32"/>
              </w:rPr>
              <w:t>三、社会效果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640" w:firstLineChars="200"/>
              <w:textAlignment w:val="auto"/>
              <w:rPr>
                <w:rFonts w:hint="eastAsia" w:ascii="Times New Roman" w:hAnsi="Times New Roman" w:eastAsia="仿宋_GB2312" w:cs="仿宋_GB2312"/>
                <w:color w:val="000000"/>
                <w:sz w:val="32"/>
                <w:szCs w:val="32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32"/>
                <w:szCs w:val="32"/>
              </w:rPr>
              <w:t>在全会结束后第一时间，评论起到了向公众传达和解读全会精神的作用，有助于广大干部群众及时了解国家未来的改革方向和重点任务。评论通过展现改革开放以来的巨大成就和未来改革的清晰蓝图，有力地回应了社会对未来的关切，特别是在应对国内外复杂形势和各种挑战的背景下，起到了稳定预期、增强发展信心的作用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640" w:firstLineChars="200"/>
              <w:textAlignment w:val="auto"/>
              <w:rPr>
                <w:rFonts w:hint="eastAsia" w:ascii="Times New Roman" w:hAnsi="Times New Roman" w:eastAsia="仿宋_GB2312" w:cs="仿宋_GB2312"/>
                <w:color w:val="000000"/>
                <w:sz w:val="32"/>
                <w:szCs w:val="32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32"/>
                <w:szCs w:val="32"/>
              </w:rPr>
              <w:t>总的来说，这篇作品是一篇时效性强、导向正确、内容充实、富有感染力的时事评论。它成功地将宏大的政治议题转化为通俗易懂、贴近民生的语言，有效地传播了二十届三中全会的精神，起到了解读政策、凝聚共识、鼓舞信心的积极作用 ，是主流媒体在重大时政报道中发挥舆论引导功能的一个具体体现。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640" w:firstLineChars="200"/>
              <w:textAlignment w:val="auto"/>
              <w:rPr>
                <w:rFonts w:hint="eastAsia" w:ascii="Times New Roman" w:hAnsi="Times New Roman" w:eastAsia="宋体" w:cs="宋体"/>
                <w:color w:val="000000"/>
                <w:szCs w:val="21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32"/>
                <w:szCs w:val="32"/>
              </w:rPr>
              <w:t>该作品一经推出引发强烈共鸣，仅抖音平台的播放量就达近360万次，点赞3.5万次，全网播放量超过500万次。在中央网信办举办的2024年度网评工作“创四优”竞赛活动成果中，“小强快评”及其作品《未来的中国，将会是什么样？这场大会给出了答案》，分别获得了优秀账号、优秀作品。</w:t>
            </w:r>
            <w:bookmarkStart w:id="1" w:name="_GoBack"/>
            <w:bookmarkEnd w:id="1"/>
          </w:p>
        </w:tc>
      </w:tr>
    </w:tbl>
    <w:p>
      <w:pPr>
        <w:ind w:right="240"/>
        <w:jc w:val="right"/>
        <w:rPr>
          <w:rFonts w:hint="eastAsia" w:ascii="Times New Roman" w:hAnsi="Times New Roman" w:eastAsia="仿宋_GB2312" w:cs="宋体"/>
          <w:color w:val="000000"/>
          <w:sz w:val="32"/>
          <w:szCs w:val="32"/>
        </w:rPr>
      </w:pPr>
      <w:r>
        <w:rPr>
          <w:rFonts w:hint="eastAsia" w:ascii="Times New Roman" w:hAnsi="Times New Roman" w:eastAsia="黑体"/>
          <w:sz w:val="24"/>
          <w:szCs w:val="24"/>
        </w:rPr>
        <w:t>中国记协202</w:t>
      </w:r>
      <w:r>
        <w:rPr>
          <w:rFonts w:ascii="Times New Roman" w:hAnsi="Times New Roman" w:eastAsia="黑体"/>
          <w:sz w:val="24"/>
          <w:szCs w:val="24"/>
        </w:rPr>
        <w:t>5</w:t>
      </w:r>
      <w:r>
        <w:rPr>
          <w:rFonts w:hint="eastAsia" w:ascii="Times New Roman" w:hAnsi="Times New Roman" w:eastAsia="黑体"/>
          <w:sz w:val="24"/>
          <w:szCs w:val="24"/>
        </w:rPr>
        <w:t>年统一印制</w:t>
      </w:r>
    </w:p>
    <w:sectPr>
      <w:headerReference r:id="rId3" w:type="default"/>
      <w:footerReference r:id="rId4" w:type="default"/>
      <w:type w:val="continuous"/>
      <w:pgSz w:w="11900" w:h="16838"/>
      <w:pgMar w:top="2098" w:right="1531" w:bottom="1984" w:left="1531" w:header="600" w:footer="960" w:gutter="0"/>
      <w:pgNumType w:start="9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16" w:lineRule="auto"/>
      <w:jc w:val="right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16" w:lineRule="auto"/>
      <w:jc w:val="lef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GUxOWQ5YTEzNGUyNzU2YmE1NGUxNGYxZTk3M2ZiMjgifQ=="/>
  </w:docVars>
  <w:rsids>
    <w:rsidRoot w:val="00BD0BC8"/>
    <w:rsid w:val="000D6051"/>
    <w:rsid w:val="000F3AEA"/>
    <w:rsid w:val="00130042"/>
    <w:rsid w:val="001F0618"/>
    <w:rsid w:val="002C65CD"/>
    <w:rsid w:val="003D2E3A"/>
    <w:rsid w:val="005124EF"/>
    <w:rsid w:val="005343F3"/>
    <w:rsid w:val="005D0DC6"/>
    <w:rsid w:val="00695A3E"/>
    <w:rsid w:val="006F3A31"/>
    <w:rsid w:val="00715CAE"/>
    <w:rsid w:val="007E56D8"/>
    <w:rsid w:val="008D1DDE"/>
    <w:rsid w:val="008D3F8A"/>
    <w:rsid w:val="009F0BE0"/>
    <w:rsid w:val="00BA6D97"/>
    <w:rsid w:val="00BD0BC8"/>
    <w:rsid w:val="00C816AF"/>
    <w:rsid w:val="00D05D25"/>
    <w:rsid w:val="00D21833"/>
    <w:rsid w:val="00D50A43"/>
    <w:rsid w:val="00E16669"/>
    <w:rsid w:val="00E30CED"/>
    <w:rsid w:val="00FF37A7"/>
    <w:rsid w:val="0EE67E08"/>
    <w:rsid w:val="1A5B66EB"/>
    <w:rsid w:val="1D290B5E"/>
    <w:rsid w:val="344A21B3"/>
    <w:rsid w:val="363518AE"/>
    <w:rsid w:val="41934F12"/>
    <w:rsid w:val="48927A1F"/>
    <w:rsid w:val="5A4854CD"/>
    <w:rsid w:val="79D16AD3"/>
    <w:rsid w:val="7B890A5C"/>
    <w:rsid w:val="7D67B2A5"/>
    <w:rsid w:val="A59B3170"/>
    <w:rsid w:val="BB32E27F"/>
    <w:rsid w:val="D50A4893"/>
    <w:rsid w:val="DFA33B44"/>
    <w:rsid w:val="FDC8247F"/>
    <w:rsid w:val="FFBF6D40"/>
    <w:rsid w:val="FFDF9F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0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0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835</Words>
  <Characters>858</Characters>
  <Lines>12</Lines>
  <Paragraphs>3</Paragraphs>
  <TotalTime>36</TotalTime>
  <ScaleCrop>false</ScaleCrop>
  <LinksUpToDate>false</LinksUpToDate>
  <CharactersWithSpaces>858</CharactersWithSpaces>
  <Application>WPS Office_11.1.0.12165_F1E327BC-269C-435d-A152-05C5408002CA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2024-04-10T08:17:00Z</dcterms:created>
  <dc:creator>INTSIG</dc:creator>
  <dc:description>Intsig Word Converter</dc:description>
  <cp:lastModifiedBy>WPS_1702603813</cp:lastModifiedBy>
  <cp:lastPrinted>2025-09-15T08:35:00Z</cp:lastPrinted>
  <dcterms:modified xsi:type="dcterms:W3CDTF">2025-09-16T01:26:03Z</dcterms:modified>
  <dc:title>wordbuilder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2052-11.1.0.12165</vt:lpwstr>
  </property>
  <property fmtid="{D5CDD505-2E9C-101B-9397-08002B2CF9AE}" pid="3" name="ICV">
    <vt:lpwstr>8E9D2F3A26504D21870FCCB6C7F2415D_13</vt:lpwstr>
  </property>
  <property fmtid="{D5CDD505-2E9C-101B-9397-08002B2CF9AE}" pid="4" name="KSOTemplateDocerSaveRecord">
    <vt:lpwstr>eyJoZGlkIjoiYWNhN2QxNTRiZTk2YTk0M2JiM2FjYzc3ZDI5MDgwNmIiLCJ1c2VySWQiOiIxMjA2NTk2NDg4In0=</vt:lpwstr>
  </property>
</Properties>
</file>